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CB" w:rsidRPr="00522E01" w:rsidRDefault="001757CB" w:rsidP="001757CB">
      <w:pPr>
        <w:pStyle w:val="ListParagraph"/>
        <w:spacing w:after="0" w:line="240" w:lineRule="auto"/>
        <w:ind w:left="0"/>
        <w:rPr>
          <w:rFonts w:cs="Arial"/>
          <w:b/>
          <w:bCs/>
          <w:sz w:val="28"/>
          <w:szCs w:val="24"/>
        </w:rPr>
      </w:pPr>
      <w:r w:rsidRPr="00522E01">
        <w:rPr>
          <w:b/>
          <w:sz w:val="28"/>
          <w:szCs w:val="28"/>
        </w:rPr>
        <w:t xml:space="preserve">Indicative </w:t>
      </w:r>
      <w:r w:rsidRPr="00522E01">
        <w:rPr>
          <w:rFonts w:cs="Arial"/>
          <w:b/>
          <w:bCs/>
          <w:sz w:val="28"/>
          <w:szCs w:val="24"/>
        </w:rPr>
        <w:t xml:space="preserve">Terms &amp; Conditions of Service </w:t>
      </w:r>
    </w:p>
    <w:p w:rsidR="001757CB" w:rsidRPr="00E52581" w:rsidRDefault="001757CB" w:rsidP="001757CB">
      <w:pPr>
        <w:autoSpaceDE w:val="0"/>
        <w:autoSpaceDN w:val="0"/>
        <w:adjustRightInd w:val="0"/>
        <w:spacing w:after="0" w:line="240" w:lineRule="auto"/>
        <w:rPr>
          <w:rFonts w:cs="Arial"/>
          <w:b/>
          <w:bCs/>
          <w:sz w:val="24"/>
          <w:szCs w:val="24"/>
        </w:rPr>
      </w:pPr>
    </w:p>
    <w:p w:rsidR="001757CB" w:rsidRPr="00A8726A" w:rsidRDefault="001757CB" w:rsidP="001757CB">
      <w:pPr>
        <w:autoSpaceDE w:val="0"/>
        <w:autoSpaceDN w:val="0"/>
        <w:adjustRightInd w:val="0"/>
        <w:spacing w:after="0" w:line="240" w:lineRule="auto"/>
        <w:jc w:val="both"/>
        <w:rPr>
          <w:rFonts w:cs="Arial"/>
          <w:b/>
          <w:bCs/>
          <w:szCs w:val="24"/>
        </w:rPr>
      </w:pPr>
      <w:r w:rsidRPr="00A8726A">
        <w:rPr>
          <w:rFonts w:cs="Arial"/>
          <w:b/>
          <w:bCs/>
          <w:szCs w:val="24"/>
        </w:rPr>
        <w:t xml:space="preserve">Place of Work </w:t>
      </w:r>
    </w:p>
    <w:p w:rsidR="001757CB" w:rsidRPr="00A8726A" w:rsidRDefault="001757CB" w:rsidP="001757CB">
      <w:pPr>
        <w:autoSpaceDE w:val="0"/>
        <w:autoSpaceDN w:val="0"/>
        <w:adjustRightInd w:val="0"/>
        <w:spacing w:after="0" w:line="240" w:lineRule="auto"/>
        <w:jc w:val="both"/>
        <w:rPr>
          <w:rFonts w:cs="Arial"/>
          <w:szCs w:val="24"/>
        </w:rPr>
      </w:pPr>
      <w:r w:rsidRPr="00A8726A">
        <w:rPr>
          <w:rFonts w:cs="Arial"/>
          <w:szCs w:val="24"/>
        </w:rPr>
        <w:t>Atrium House, 14 Central Avenue, Shortlees, Kilmarnock KA1 1BL and any other location as necessary.</w:t>
      </w:r>
    </w:p>
    <w:p w:rsidR="001757CB" w:rsidRDefault="001757CB" w:rsidP="001757CB">
      <w:pPr>
        <w:autoSpaceDE w:val="0"/>
        <w:autoSpaceDN w:val="0"/>
        <w:adjustRightInd w:val="0"/>
        <w:spacing w:after="0" w:line="240" w:lineRule="auto"/>
        <w:jc w:val="both"/>
        <w:rPr>
          <w:rFonts w:cs="Arial"/>
          <w:b/>
          <w:bCs/>
          <w:szCs w:val="24"/>
        </w:rPr>
      </w:pPr>
    </w:p>
    <w:p w:rsidR="001757CB" w:rsidRDefault="001757CB" w:rsidP="001757CB">
      <w:pPr>
        <w:autoSpaceDE w:val="0"/>
        <w:autoSpaceDN w:val="0"/>
        <w:adjustRightInd w:val="0"/>
        <w:spacing w:after="0" w:line="240" w:lineRule="auto"/>
        <w:jc w:val="both"/>
        <w:rPr>
          <w:rFonts w:cs="Arial"/>
          <w:b/>
          <w:bCs/>
          <w:szCs w:val="24"/>
        </w:rPr>
      </w:pPr>
      <w:r w:rsidRPr="00A8726A">
        <w:rPr>
          <w:rFonts w:cs="Arial"/>
          <w:b/>
          <w:bCs/>
          <w:szCs w:val="24"/>
        </w:rPr>
        <w:t>Hours of Work</w:t>
      </w:r>
    </w:p>
    <w:p w:rsidR="001757CB" w:rsidRPr="00A8726A" w:rsidRDefault="001757CB" w:rsidP="001757CB">
      <w:pPr>
        <w:autoSpaceDE w:val="0"/>
        <w:autoSpaceDN w:val="0"/>
        <w:adjustRightInd w:val="0"/>
        <w:spacing w:after="0" w:line="240" w:lineRule="auto"/>
        <w:jc w:val="both"/>
        <w:rPr>
          <w:rFonts w:cs="Arial"/>
          <w:b/>
          <w:bCs/>
          <w:szCs w:val="24"/>
        </w:rPr>
      </w:pPr>
      <w:bookmarkStart w:id="0" w:name="_GoBack"/>
      <w:bookmarkEnd w:id="0"/>
      <w:r w:rsidRPr="00A8726A">
        <w:rPr>
          <w:rFonts w:cs="Arial"/>
          <w:szCs w:val="24"/>
        </w:rPr>
        <w:t>35 hours per week, worked between 8.00 and 6.00pm Monday to Friday on a pattern to be agreed.  We operate a flexible working policy.</w:t>
      </w:r>
      <w:r w:rsidRPr="00CB4279">
        <w:rPr>
          <w:rFonts w:cs="Arial"/>
          <w:szCs w:val="24"/>
        </w:rPr>
        <w:t xml:space="preserve"> </w:t>
      </w:r>
      <w:r w:rsidRPr="00A8726A">
        <w:rPr>
          <w:rFonts w:cs="Arial"/>
          <w:szCs w:val="24"/>
        </w:rPr>
        <w:t>There will be a requirement to work out with office hours on occasion.</w:t>
      </w:r>
      <w:r>
        <w:rPr>
          <w:rFonts w:cs="Arial"/>
          <w:szCs w:val="24"/>
        </w:rPr>
        <w:t xml:space="preserve">  Occasional overtime may be required and if worked may be taken as time off in lieu, subject to operational requirements.</w:t>
      </w:r>
    </w:p>
    <w:p w:rsidR="001757CB" w:rsidRPr="00A8726A" w:rsidRDefault="001757CB" w:rsidP="001757CB">
      <w:pPr>
        <w:autoSpaceDE w:val="0"/>
        <w:autoSpaceDN w:val="0"/>
        <w:adjustRightInd w:val="0"/>
        <w:spacing w:after="0" w:line="240" w:lineRule="auto"/>
        <w:jc w:val="both"/>
        <w:rPr>
          <w:rFonts w:cs="Arial"/>
          <w:b/>
          <w:bCs/>
          <w:szCs w:val="24"/>
        </w:rPr>
      </w:pPr>
    </w:p>
    <w:p w:rsidR="001757CB" w:rsidRPr="00A8726A" w:rsidRDefault="001757CB" w:rsidP="001757CB">
      <w:pPr>
        <w:autoSpaceDE w:val="0"/>
        <w:autoSpaceDN w:val="0"/>
        <w:adjustRightInd w:val="0"/>
        <w:spacing w:after="0" w:line="240" w:lineRule="auto"/>
        <w:jc w:val="both"/>
        <w:rPr>
          <w:rFonts w:cs="Arial"/>
          <w:b/>
          <w:bCs/>
          <w:szCs w:val="24"/>
        </w:rPr>
      </w:pPr>
      <w:r w:rsidRPr="00A8726A">
        <w:rPr>
          <w:rFonts w:cs="Arial"/>
          <w:b/>
          <w:bCs/>
          <w:szCs w:val="24"/>
        </w:rPr>
        <w:t xml:space="preserve">Leave Entitlement </w:t>
      </w:r>
    </w:p>
    <w:p w:rsidR="001757CB" w:rsidRPr="00A8726A" w:rsidRDefault="001757CB" w:rsidP="001757CB">
      <w:pPr>
        <w:autoSpaceDE w:val="0"/>
        <w:autoSpaceDN w:val="0"/>
        <w:adjustRightInd w:val="0"/>
        <w:spacing w:after="0" w:line="240" w:lineRule="auto"/>
        <w:jc w:val="both"/>
        <w:rPr>
          <w:rFonts w:cs="Arial"/>
          <w:b/>
          <w:bCs/>
          <w:szCs w:val="24"/>
        </w:rPr>
      </w:pPr>
      <w:r w:rsidRPr="00A8726A">
        <w:rPr>
          <w:rFonts w:cs="Arial"/>
          <w:szCs w:val="24"/>
        </w:rPr>
        <w:t>25 days per annum Annual Leave + 1</w:t>
      </w:r>
      <w:r w:rsidR="002E2077">
        <w:rPr>
          <w:rFonts w:cs="Arial"/>
          <w:szCs w:val="24"/>
        </w:rPr>
        <w:t>5</w:t>
      </w:r>
      <w:r w:rsidRPr="00A8726A">
        <w:rPr>
          <w:rFonts w:cs="Arial"/>
          <w:szCs w:val="24"/>
        </w:rPr>
        <w:t xml:space="preserve"> public and general holidays</w:t>
      </w:r>
      <w:r>
        <w:rPr>
          <w:rFonts w:cs="Arial"/>
          <w:szCs w:val="24"/>
        </w:rPr>
        <w:t>.</w:t>
      </w:r>
      <w:r w:rsidRPr="00A8726A">
        <w:rPr>
          <w:rFonts w:cs="Arial"/>
          <w:szCs w:val="24"/>
        </w:rPr>
        <w:t xml:space="preserve"> </w:t>
      </w:r>
    </w:p>
    <w:p w:rsidR="001757CB" w:rsidRPr="00A8726A" w:rsidRDefault="001757CB" w:rsidP="001757CB">
      <w:pPr>
        <w:autoSpaceDE w:val="0"/>
        <w:autoSpaceDN w:val="0"/>
        <w:adjustRightInd w:val="0"/>
        <w:spacing w:after="0" w:line="240" w:lineRule="auto"/>
        <w:jc w:val="both"/>
        <w:rPr>
          <w:rFonts w:cs="Arial"/>
          <w:b/>
          <w:bCs/>
          <w:szCs w:val="24"/>
        </w:rPr>
      </w:pPr>
    </w:p>
    <w:p w:rsidR="001757CB" w:rsidRPr="00A8726A" w:rsidRDefault="001757CB" w:rsidP="001757CB">
      <w:pPr>
        <w:autoSpaceDE w:val="0"/>
        <w:autoSpaceDN w:val="0"/>
        <w:adjustRightInd w:val="0"/>
        <w:spacing w:after="0" w:line="240" w:lineRule="auto"/>
        <w:jc w:val="both"/>
        <w:rPr>
          <w:rFonts w:cs="Arial"/>
          <w:b/>
          <w:bCs/>
          <w:szCs w:val="24"/>
        </w:rPr>
      </w:pPr>
      <w:r w:rsidRPr="00A8726A">
        <w:rPr>
          <w:rFonts w:cs="Arial"/>
          <w:b/>
          <w:bCs/>
          <w:szCs w:val="24"/>
        </w:rPr>
        <w:t xml:space="preserve">Salary Payment Date </w:t>
      </w:r>
    </w:p>
    <w:p w:rsidR="001757CB" w:rsidRPr="00A8726A" w:rsidRDefault="001757CB" w:rsidP="001757CB">
      <w:pPr>
        <w:autoSpaceDE w:val="0"/>
        <w:autoSpaceDN w:val="0"/>
        <w:adjustRightInd w:val="0"/>
        <w:spacing w:after="0" w:line="240" w:lineRule="auto"/>
        <w:jc w:val="both"/>
        <w:rPr>
          <w:rFonts w:cs="Arial"/>
          <w:szCs w:val="24"/>
        </w:rPr>
      </w:pPr>
      <w:r w:rsidRPr="00A8726A">
        <w:rPr>
          <w:rFonts w:cs="Arial"/>
          <w:bCs/>
          <w:szCs w:val="24"/>
        </w:rPr>
        <w:t>28</w:t>
      </w:r>
      <w:r w:rsidRPr="00A8726A">
        <w:rPr>
          <w:rFonts w:cs="Arial"/>
          <w:bCs/>
          <w:szCs w:val="24"/>
          <w:vertAlign w:val="superscript"/>
        </w:rPr>
        <w:t>th</w:t>
      </w:r>
      <w:r w:rsidRPr="00A8726A">
        <w:rPr>
          <w:rFonts w:cs="Arial"/>
          <w:bCs/>
          <w:szCs w:val="24"/>
        </w:rPr>
        <w:t xml:space="preserve"> day of each month</w:t>
      </w:r>
      <w:r w:rsidRPr="00A8726A">
        <w:rPr>
          <w:rFonts w:cs="Arial"/>
          <w:b/>
          <w:bCs/>
          <w:szCs w:val="24"/>
        </w:rPr>
        <w:t xml:space="preserve"> </w:t>
      </w:r>
      <w:r w:rsidRPr="00A8726A">
        <w:rPr>
          <w:rFonts w:cs="Arial"/>
          <w:szCs w:val="24"/>
        </w:rPr>
        <w:t xml:space="preserve">(or earlier </w:t>
      </w:r>
      <w:r w:rsidR="001D4A4F">
        <w:rPr>
          <w:rFonts w:cs="Arial"/>
          <w:szCs w:val="24"/>
        </w:rPr>
        <w:t>i</w:t>
      </w:r>
      <w:r w:rsidRPr="00A8726A">
        <w:rPr>
          <w:rFonts w:cs="Arial"/>
          <w:szCs w:val="24"/>
        </w:rPr>
        <w:t>f 28</w:t>
      </w:r>
      <w:r w:rsidRPr="00A8726A">
        <w:rPr>
          <w:rFonts w:cs="Arial"/>
          <w:szCs w:val="24"/>
          <w:vertAlign w:val="superscript"/>
        </w:rPr>
        <w:t>th</w:t>
      </w:r>
      <w:r w:rsidRPr="00A8726A">
        <w:rPr>
          <w:rFonts w:cs="Arial"/>
          <w:szCs w:val="24"/>
        </w:rPr>
        <w:t xml:space="preserve"> falls on a weekend</w:t>
      </w:r>
      <w:r>
        <w:rPr>
          <w:rFonts w:cs="Arial"/>
          <w:szCs w:val="24"/>
        </w:rPr>
        <w:t xml:space="preserve"> or public holiday</w:t>
      </w:r>
      <w:r w:rsidRPr="00A8726A">
        <w:rPr>
          <w:rFonts w:cs="Arial"/>
          <w:szCs w:val="24"/>
        </w:rPr>
        <w:t>)</w:t>
      </w:r>
      <w:r>
        <w:rPr>
          <w:rFonts w:cs="Arial"/>
          <w:szCs w:val="24"/>
        </w:rPr>
        <w:t>.</w:t>
      </w:r>
    </w:p>
    <w:p w:rsidR="001757CB" w:rsidRPr="00A8726A" w:rsidRDefault="001757CB" w:rsidP="001757CB">
      <w:pPr>
        <w:autoSpaceDE w:val="0"/>
        <w:autoSpaceDN w:val="0"/>
        <w:adjustRightInd w:val="0"/>
        <w:spacing w:after="0" w:line="240" w:lineRule="auto"/>
        <w:jc w:val="both"/>
        <w:rPr>
          <w:rFonts w:cs="Arial"/>
          <w:b/>
          <w:bCs/>
          <w:szCs w:val="24"/>
        </w:rPr>
      </w:pPr>
    </w:p>
    <w:p w:rsidR="001757CB" w:rsidRPr="00A8726A" w:rsidRDefault="001757CB" w:rsidP="001757CB">
      <w:pPr>
        <w:autoSpaceDE w:val="0"/>
        <w:autoSpaceDN w:val="0"/>
        <w:adjustRightInd w:val="0"/>
        <w:spacing w:after="0" w:line="240" w:lineRule="auto"/>
        <w:jc w:val="both"/>
        <w:rPr>
          <w:rFonts w:cs="Arial"/>
          <w:b/>
          <w:bCs/>
          <w:szCs w:val="24"/>
        </w:rPr>
      </w:pPr>
      <w:r w:rsidRPr="00A8726A">
        <w:rPr>
          <w:rFonts w:cs="Arial"/>
          <w:b/>
          <w:bCs/>
          <w:szCs w:val="24"/>
        </w:rPr>
        <w:t xml:space="preserve">Pension  </w:t>
      </w:r>
    </w:p>
    <w:p w:rsidR="001757CB" w:rsidRPr="00A8726A" w:rsidRDefault="001757CB" w:rsidP="001757CB">
      <w:pPr>
        <w:autoSpaceDE w:val="0"/>
        <w:autoSpaceDN w:val="0"/>
        <w:adjustRightInd w:val="0"/>
        <w:spacing w:after="0" w:line="240" w:lineRule="auto"/>
        <w:jc w:val="both"/>
        <w:rPr>
          <w:rFonts w:cs="Arial"/>
          <w:bCs/>
          <w:szCs w:val="24"/>
        </w:rPr>
      </w:pPr>
      <w:r w:rsidRPr="00A8726A">
        <w:rPr>
          <w:rFonts w:cs="Arial"/>
          <w:bCs/>
          <w:szCs w:val="24"/>
        </w:rPr>
        <w:t xml:space="preserve">Atrium Homes is a member of SHAPS and offers a contributory pension in accordance with the terms of that scheme. At present the </w:t>
      </w:r>
      <w:r w:rsidR="003B3B04">
        <w:rPr>
          <w:rFonts w:cs="Arial"/>
          <w:bCs/>
          <w:szCs w:val="24"/>
        </w:rPr>
        <w:t>default auto enrolment</w:t>
      </w:r>
      <w:r w:rsidR="00055EA7">
        <w:rPr>
          <w:rFonts w:cs="Arial"/>
          <w:bCs/>
          <w:szCs w:val="24"/>
        </w:rPr>
        <w:t xml:space="preserve"> </w:t>
      </w:r>
      <w:r w:rsidRPr="00A8726A">
        <w:rPr>
          <w:rFonts w:cs="Arial"/>
          <w:bCs/>
          <w:szCs w:val="24"/>
        </w:rPr>
        <w:t xml:space="preserve">option for new staff is CARE120ths, but </w:t>
      </w:r>
      <w:r w:rsidR="00055EA7">
        <w:rPr>
          <w:rFonts w:cs="Arial"/>
          <w:bCs/>
          <w:szCs w:val="24"/>
        </w:rPr>
        <w:t xml:space="preserve">once in post </w:t>
      </w:r>
      <w:r w:rsidR="003B3B04">
        <w:rPr>
          <w:rFonts w:cs="Arial"/>
          <w:bCs/>
          <w:szCs w:val="24"/>
        </w:rPr>
        <w:t xml:space="preserve">new </w:t>
      </w:r>
      <w:r w:rsidR="00055EA7">
        <w:rPr>
          <w:rFonts w:cs="Arial"/>
          <w:bCs/>
          <w:szCs w:val="24"/>
        </w:rPr>
        <w:t xml:space="preserve">staff may opt to move to CARE 80ths.  There is a contribution cap in place on employer contributions so staff moving to a higher </w:t>
      </w:r>
      <w:r w:rsidR="003B3B04">
        <w:rPr>
          <w:rFonts w:cs="Arial"/>
          <w:bCs/>
          <w:szCs w:val="24"/>
        </w:rPr>
        <w:t>contribution option will bear the contributions cost</w:t>
      </w:r>
      <w:r w:rsidR="00055EA7">
        <w:rPr>
          <w:rFonts w:cs="Arial"/>
          <w:bCs/>
          <w:szCs w:val="24"/>
        </w:rPr>
        <w:t xml:space="preserve"> in excess of the employer cap.  All pension arrangements are subject to regular review and may be amended by the organisation.</w:t>
      </w:r>
    </w:p>
    <w:p w:rsidR="001757CB" w:rsidRPr="00A8726A" w:rsidRDefault="001757CB" w:rsidP="001757CB">
      <w:pPr>
        <w:autoSpaceDE w:val="0"/>
        <w:autoSpaceDN w:val="0"/>
        <w:adjustRightInd w:val="0"/>
        <w:spacing w:after="0" w:line="240" w:lineRule="auto"/>
        <w:jc w:val="both"/>
        <w:rPr>
          <w:rFonts w:cs="Arial"/>
          <w:b/>
          <w:bCs/>
          <w:szCs w:val="24"/>
        </w:rPr>
      </w:pPr>
    </w:p>
    <w:p w:rsidR="001757CB" w:rsidRPr="00A8726A" w:rsidRDefault="001757CB" w:rsidP="001757CB">
      <w:pPr>
        <w:autoSpaceDE w:val="0"/>
        <w:autoSpaceDN w:val="0"/>
        <w:adjustRightInd w:val="0"/>
        <w:spacing w:after="0" w:line="240" w:lineRule="auto"/>
        <w:jc w:val="both"/>
        <w:rPr>
          <w:rFonts w:cs="Arial"/>
          <w:b/>
          <w:bCs/>
          <w:szCs w:val="24"/>
        </w:rPr>
      </w:pPr>
      <w:r w:rsidRPr="00A8726A">
        <w:rPr>
          <w:rFonts w:cs="Arial"/>
          <w:b/>
          <w:bCs/>
          <w:szCs w:val="24"/>
        </w:rPr>
        <w:t xml:space="preserve">Sickness Benefit </w:t>
      </w:r>
    </w:p>
    <w:p w:rsidR="001757CB" w:rsidRPr="00A8726A" w:rsidRDefault="001757CB" w:rsidP="001757CB">
      <w:pPr>
        <w:autoSpaceDE w:val="0"/>
        <w:autoSpaceDN w:val="0"/>
        <w:adjustRightInd w:val="0"/>
        <w:spacing w:after="0" w:line="240" w:lineRule="auto"/>
        <w:jc w:val="both"/>
        <w:rPr>
          <w:rFonts w:cs="Arial"/>
          <w:bCs/>
          <w:szCs w:val="24"/>
        </w:rPr>
      </w:pPr>
      <w:r w:rsidRPr="00A8726A">
        <w:rPr>
          <w:rFonts w:cs="Arial"/>
          <w:bCs/>
          <w:szCs w:val="24"/>
        </w:rPr>
        <w:t>We offer a company sickness benefit scheme in accordance with the terms of EVH.  Currently th</w:t>
      </w:r>
      <w:r>
        <w:rPr>
          <w:rFonts w:cs="Arial"/>
          <w:bCs/>
          <w:szCs w:val="24"/>
        </w:rPr>
        <w:t xml:space="preserve">e entitlement </w:t>
      </w:r>
      <w:r w:rsidRPr="00A8726A">
        <w:rPr>
          <w:rFonts w:cs="Arial"/>
          <w:bCs/>
          <w:szCs w:val="24"/>
        </w:rPr>
        <w: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701"/>
        <w:gridCol w:w="1701"/>
      </w:tblGrid>
      <w:tr w:rsidR="001757CB" w:rsidRPr="00A8726A" w:rsidTr="002B0D5F">
        <w:tc>
          <w:tcPr>
            <w:tcW w:w="4707" w:type="dxa"/>
          </w:tcPr>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b/>
                <w:bCs/>
                <w:szCs w:val="24"/>
                <w:lang w:eastAsia="en-GB"/>
              </w:rPr>
              <w:t>Continuous service at the date sickness starts</w:t>
            </w:r>
          </w:p>
        </w:tc>
        <w:tc>
          <w:tcPr>
            <w:tcW w:w="1701" w:type="dxa"/>
            <w:shd w:val="clear" w:color="auto" w:fill="auto"/>
          </w:tcPr>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b/>
                <w:bCs/>
                <w:szCs w:val="24"/>
                <w:lang w:eastAsia="en-GB"/>
              </w:rPr>
              <w:t xml:space="preserve">Full Allowance </w:t>
            </w:r>
          </w:p>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b/>
                <w:bCs/>
                <w:szCs w:val="24"/>
                <w:lang w:eastAsia="en-GB"/>
              </w:rPr>
              <w:t xml:space="preserve">paid for </w:t>
            </w:r>
          </w:p>
        </w:tc>
        <w:tc>
          <w:tcPr>
            <w:tcW w:w="1701" w:type="dxa"/>
            <w:shd w:val="clear" w:color="auto" w:fill="auto"/>
          </w:tcPr>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b/>
                <w:bCs/>
                <w:szCs w:val="24"/>
                <w:lang w:eastAsia="en-GB"/>
              </w:rPr>
              <w:t>H</w:t>
            </w:r>
            <w:r>
              <w:rPr>
                <w:rFonts w:cs="Arial"/>
                <w:b/>
                <w:bCs/>
                <w:szCs w:val="24"/>
                <w:lang w:eastAsia="en-GB"/>
              </w:rPr>
              <w:t xml:space="preserve">alf </w:t>
            </w:r>
            <w:r w:rsidRPr="00A8726A">
              <w:rPr>
                <w:rFonts w:cs="Arial"/>
                <w:b/>
                <w:bCs/>
                <w:szCs w:val="24"/>
                <w:lang w:eastAsia="en-GB"/>
              </w:rPr>
              <w:t>Allowance</w:t>
            </w:r>
            <w:r w:rsidRPr="00A8726A" w:rsidDel="00897606">
              <w:rPr>
                <w:rFonts w:cs="Arial"/>
                <w:b/>
                <w:bCs/>
                <w:szCs w:val="24"/>
                <w:lang w:eastAsia="en-GB"/>
              </w:rPr>
              <w:t xml:space="preserve"> </w:t>
            </w:r>
            <w:r w:rsidRPr="00A8726A">
              <w:rPr>
                <w:rFonts w:cs="Arial"/>
                <w:b/>
                <w:bCs/>
                <w:szCs w:val="24"/>
                <w:lang w:eastAsia="en-GB"/>
              </w:rPr>
              <w:t>paid for</w:t>
            </w:r>
          </w:p>
        </w:tc>
      </w:tr>
      <w:tr w:rsidR="001757CB" w:rsidRPr="00A8726A" w:rsidTr="002B0D5F">
        <w:tc>
          <w:tcPr>
            <w:tcW w:w="4707" w:type="dxa"/>
          </w:tcPr>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szCs w:val="24"/>
                <w:lang w:eastAsia="en-GB"/>
              </w:rPr>
              <w:t xml:space="preserve">Up to 1 year </w:t>
            </w:r>
          </w:p>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szCs w:val="24"/>
                <w:lang w:eastAsia="en-GB"/>
              </w:rPr>
              <w:t xml:space="preserve">Over 1 year and under 2 </w:t>
            </w:r>
          </w:p>
          <w:p w:rsidR="001757CB" w:rsidRPr="00A8726A" w:rsidRDefault="001757CB" w:rsidP="002B0D5F">
            <w:pPr>
              <w:autoSpaceDE w:val="0"/>
              <w:autoSpaceDN w:val="0"/>
              <w:adjustRightInd w:val="0"/>
              <w:spacing w:after="0" w:line="240" w:lineRule="auto"/>
              <w:jc w:val="both"/>
              <w:rPr>
                <w:rFonts w:cs="Arial"/>
                <w:szCs w:val="24"/>
                <w:lang w:eastAsia="en-GB"/>
              </w:rPr>
            </w:pPr>
            <w:r w:rsidRPr="00A8726A">
              <w:rPr>
                <w:rFonts w:cs="Arial"/>
                <w:szCs w:val="24"/>
                <w:lang w:eastAsia="en-GB"/>
              </w:rPr>
              <w:t xml:space="preserve">Over 2 years and under 3 </w:t>
            </w:r>
          </w:p>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szCs w:val="24"/>
                <w:lang w:eastAsia="en-GB"/>
              </w:rPr>
              <w:t xml:space="preserve">Over 3 years and under 5 </w:t>
            </w:r>
          </w:p>
          <w:p w:rsidR="001757CB" w:rsidRPr="00A8726A" w:rsidRDefault="001757CB" w:rsidP="002B0D5F">
            <w:pPr>
              <w:autoSpaceDE w:val="0"/>
              <w:autoSpaceDN w:val="0"/>
              <w:adjustRightInd w:val="0"/>
              <w:spacing w:after="0" w:line="240" w:lineRule="auto"/>
              <w:jc w:val="both"/>
              <w:rPr>
                <w:rFonts w:cs="Arial"/>
                <w:b/>
                <w:bCs/>
                <w:szCs w:val="24"/>
                <w:lang w:eastAsia="en-GB"/>
              </w:rPr>
            </w:pPr>
            <w:r w:rsidRPr="00A8726A">
              <w:rPr>
                <w:rFonts w:cs="Arial"/>
                <w:szCs w:val="24"/>
                <w:lang w:eastAsia="en-GB"/>
              </w:rPr>
              <w:t xml:space="preserve">Over 5 years </w:t>
            </w:r>
          </w:p>
        </w:tc>
        <w:tc>
          <w:tcPr>
            <w:tcW w:w="1701" w:type="dxa"/>
            <w:shd w:val="clear" w:color="auto" w:fill="auto"/>
          </w:tcPr>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5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9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18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22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26 weeks</w:t>
            </w:r>
          </w:p>
        </w:tc>
        <w:tc>
          <w:tcPr>
            <w:tcW w:w="1701" w:type="dxa"/>
            <w:shd w:val="clear" w:color="auto" w:fill="auto"/>
          </w:tcPr>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5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9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18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22 weeks</w:t>
            </w:r>
          </w:p>
          <w:p w:rsidR="001757CB" w:rsidRPr="00A8726A" w:rsidRDefault="001757CB" w:rsidP="002B0D5F">
            <w:pPr>
              <w:autoSpaceDE w:val="0"/>
              <w:autoSpaceDN w:val="0"/>
              <w:adjustRightInd w:val="0"/>
              <w:spacing w:after="0" w:line="240" w:lineRule="auto"/>
              <w:jc w:val="both"/>
              <w:rPr>
                <w:rFonts w:cs="Arial"/>
                <w:bCs/>
                <w:szCs w:val="24"/>
                <w:lang w:eastAsia="en-GB"/>
              </w:rPr>
            </w:pPr>
            <w:r w:rsidRPr="00A8726A">
              <w:rPr>
                <w:rFonts w:cs="Arial"/>
                <w:bCs/>
                <w:szCs w:val="24"/>
                <w:lang w:eastAsia="en-GB"/>
              </w:rPr>
              <w:t>26 weeks</w:t>
            </w:r>
          </w:p>
        </w:tc>
      </w:tr>
    </w:tbl>
    <w:p w:rsidR="001757CB" w:rsidRPr="00A8726A" w:rsidRDefault="001757CB" w:rsidP="001757CB">
      <w:pPr>
        <w:autoSpaceDE w:val="0"/>
        <w:autoSpaceDN w:val="0"/>
        <w:adjustRightInd w:val="0"/>
        <w:spacing w:after="0" w:line="240" w:lineRule="auto"/>
        <w:ind w:left="1418"/>
        <w:jc w:val="both"/>
        <w:rPr>
          <w:szCs w:val="24"/>
        </w:rPr>
      </w:pPr>
    </w:p>
    <w:p w:rsidR="001757CB" w:rsidRPr="00A8726A" w:rsidRDefault="001757CB" w:rsidP="001757CB">
      <w:pPr>
        <w:autoSpaceDE w:val="0"/>
        <w:autoSpaceDN w:val="0"/>
        <w:adjustRightInd w:val="0"/>
        <w:spacing w:after="0" w:line="240" w:lineRule="auto"/>
        <w:jc w:val="both"/>
        <w:rPr>
          <w:b/>
          <w:szCs w:val="24"/>
        </w:rPr>
      </w:pPr>
      <w:proofErr w:type="spellStart"/>
      <w:r w:rsidRPr="00A8726A">
        <w:rPr>
          <w:b/>
          <w:szCs w:val="24"/>
        </w:rPr>
        <w:t>Healthplan</w:t>
      </w:r>
      <w:proofErr w:type="spellEnd"/>
      <w:r w:rsidRPr="00A8726A">
        <w:rPr>
          <w:b/>
          <w:szCs w:val="24"/>
        </w:rPr>
        <w:t xml:space="preserve"> </w:t>
      </w:r>
    </w:p>
    <w:p w:rsidR="001757CB" w:rsidRPr="00E52581" w:rsidRDefault="001757CB" w:rsidP="001757CB">
      <w:pPr>
        <w:autoSpaceDE w:val="0"/>
        <w:autoSpaceDN w:val="0"/>
        <w:adjustRightInd w:val="0"/>
        <w:spacing w:after="0" w:line="240" w:lineRule="auto"/>
        <w:jc w:val="both"/>
        <w:rPr>
          <w:sz w:val="24"/>
          <w:szCs w:val="24"/>
        </w:rPr>
      </w:pPr>
      <w:r w:rsidRPr="00A8726A">
        <w:rPr>
          <w:szCs w:val="24"/>
        </w:rPr>
        <w:t xml:space="preserve">Atrium is a member of Westfield Health’s </w:t>
      </w:r>
      <w:r w:rsidRPr="00A8726A">
        <w:rPr>
          <w:rFonts w:cs="Arial"/>
          <w:szCs w:val="24"/>
        </w:rPr>
        <w:t xml:space="preserve">Chamber Primary Health Plan </w:t>
      </w:r>
      <w:r w:rsidRPr="00A8726A">
        <w:rPr>
          <w:szCs w:val="24"/>
        </w:rPr>
        <w:t>which provides a range of healthcare benefits for staff.  Subscription is met by Atrium Homes.</w:t>
      </w:r>
    </w:p>
    <w:p w:rsidR="001757CB" w:rsidRDefault="001757CB" w:rsidP="001757CB">
      <w:pPr>
        <w:autoSpaceDE w:val="0"/>
        <w:autoSpaceDN w:val="0"/>
        <w:adjustRightInd w:val="0"/>
        <w:spacing w:after="0" w:line="240" w:lineRule="auto"/>
        <w:jc w:val="both"/>
        <w:rPr>
          <w:rFonts w:cs="Arial"/>
          <w:b/>
          <w:bCs/>
          <w:szCs w:val="24"/>
        </w:rPr>
      </w:pPr>
    </w:p>
    <w:p w:rsidR="001757CB" w:rsidRPr="00A8726A" w:rsidRDefault="001757CB" w:rsidP="001757CB">
      <w:pPr>
        <w:autoSpaceDE w:val="0"/>
        <w:autoSpaceDN w:val="0"/>
        <w:adjustRightInd w:val="0"/>
        <w:spacing w:after="0" w:line="240" w:lineRule="auto"/>
        <w:jc w:val="both"/>
        <w:rPr>
          <w:rFonts w:cs="Arial"/>
          <w:b/>
          <w:bCs/>
          <w:szCs w:val="24"/>
        </w:rPr>
      </w:pPr>
      <w:r w:rsidRPr="00A8726A">
        <w:rPr>
          <w:rFonts w:cs="Arial"/>
          <w:b/>
          <w:bCs/>
          <w:szCs w:val="24"/>
        </w:rPr>
        <w:t xml:space="preserve">Notice Period </w:t>
      </w:r>
    </w:p>
    <w:p w:rsidR="001757CB" w:rsidRPr="00A8726A" w:rsidRDefault="00055EA7" w:rsidP="001757CB">
      <w:pPr>
        <w:autoSpaceDE w:val="0"/>
        <w:autoSpaceDN w:val="0"/>
        <w:adjustRightInd w:val="0"/>
        <w:spacing w:after="0" w:line="240" w:lineRule="auto"/>
        <w:jc w:val="both"/>
        <w:rPr>
          <w:rFonts w:cs="Arial"/>
          <w:szCs w:val="24"/>
        </w:rPr>
      </w:pPr>
      <w:r>
        <w:rPr>
          <w:rFonts w:cs="Arial"/>
          <w:szCs w:val="24"/>
        </w:rPr>
        <w:t>26</w:t>
      </w:r>
      <w:r w:rsidR="008E393D">
        <w:rPr>
          <w:rFonts w:cs="Arial"/>
          <w:szCs w:val="24"/>
        </w:rPr>
        <w:t xml:space="preserve"> </w:t>
      </w:r>
      <w:r w:rsidR="001757CB">
        <w:rPr>
          <w:rFonts w:cs="Arial"/>
          <w:szCs w:val="24"/>
        </w:rPr>
        <w:t>weeks.</w:t>
      </w:r>
    </w:p>
    <w:p w:rsidR="001757CB" w:rsidRDefault="001757CB" w:rsidP="001757CB">
      <w:pPr>
        <w:autoSpaceDE w:val="0"/>
        <w:autoSpaceDN w:val="0"/>
        <w:adjustRightInd w:val="0"/>
        <w:spacing w:after="0" w:line="240" w:lineRule="auto"/>
      </w:pPr>
    </w:p>
    <w:p w:rsidR="001757CB" w:rsidRPr="00CB1623" w:rsidRDefault="001757CB" w:rsidP="001757CB">
      <w:pPr>
        <w:autoSpaceDE w:val="0"/>
        <w:autoSpaceDN w:val="0"/>
        <w:adjustRightInd w:val="0"/>
        <w:spacing w:after="0" w:line="240" w:lineRule="auto"/>
        <w:jc w:val="both"/>
        <w:rPr>
          <w:b/>
        </w:rPr>
      </w:pPr>
      <w:r w:rsidRPr="00CB1623">
        <w:rPr>
          <w:b/>
        </w:rPr>
        <w:t>General</w:t>
      </w:r>
    </w:p>
    <w:p w:rsidR="001757CB" w:rsidRPr="00CB1623" w:rsidRDefault="001757CB" w:rsidP="001757CB">
      <w:pPr>
        <w:autoSpaceDE w:val="0"/>
        <w:autoSpaceDN w:val="0"/>
        <w:adjustRightInd w:val="0"/>
        <w:jc w:val="both"/>
      </w:pPr>
      <w:r w:rsidRPr="00CB1623">
        <w:t>Atrium Homes is an associate member of EVH</w:t>
      </w:r>
      <w:r>
        <w:t xml:space="preserve"> and is not bound by its collective bargaining arrangements.  In the main Atrium applies EVH Terms and Conditions of Employment but offers its own salary scales (which are different to EVH’s) and which are reviewed </w:t>
      </w:r>
      <w:r w:rsidR="001C65DA">
        <w:t>regularly</w:t>
      </w:r>
      <w:r>
        <w:t xml:space="preserve"> by the Board of Atrium Homes. </w:t>
      </w:r>
      <w:r w:rsidR="001C65DA">
        <w:t xml:space="preserve"> </w:t>
      </w:r>
    </w:p>
    <w:p w:rsidR="00B13E05" w:rsidRDefault="00B13E05"/>
    <w:sectPr w:rsidR="00B13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CB"/>
    <w:rsid w:val="00055EA7"/>
    <w:rsid w:val="001757CB"/>
    <w:rsid w:val="001C65DA"/>
    <w:rsid w:val="001D4A4F"/>
    <w:rsid w:val="002E2077"/>
    <w:rsid w:val="003B3B04"/>
    <w:rsid w:val="008E393D"/>
    <w:rsid w:val="00B1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0D28"/>
  <w15:chartTrackingRefBased/>
  <w15:docId w15:val="{AB4B2A04-1494-4EE5-8051-4D037732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Nigel Fortnum</DisplayName>
        <AccountId>23</AccountId>
        <AccountType/>
      </UserInfo>
      <UserInfo>
        <DisplayName>Mike Orr</DisplayName>
        <AccountId>25</AccountId>
        <AccountType/>
      </UserInfo>
      <UserInfo>
        <DisplayName>Katy Gall</DisplayName>
        <AccountId>14</AccountId>
        <AccountType/>
      </UserInfo>
    </Team>
    <FirefishReference xmlns="5b12561d-b03a-47d5-9db5-4e2bbf9ffb11">4306</FirefishReference>
    <BusinessType xmlns="5b12561d-b03a-47d5-9db5-4e2bbf9ffb11">New Client</BusinessType>
    <DocumentType xmlns="5b12561d-b03a-47d5-9db5-4e2bbf9ffb11" xsi:nil="true"/>
  </documentManagement>
</p:properties>
</file>

<file path=customXml/itemProps1.xml><?xml version="1.0" encoding="utf-8"?>
<ds:datastoreItem xmlns:ds="http://schemas.openxmlformats.org/officeDocument/2006/customXml" ds:itemID="{EE1194D8-5A44-428B-987F-2805263042E9}"/>
</file>

<file path=customXml/itemProps2.xml><?xml version="1.0" encoding="utf-8"?>
<ds:datastoreItem xmlns:ds="http://schemas.openxmlformats.org/officeDocument/2006/customXml" ds:itemID="{65822857-EA0D-445A-9E7C-F3FA69FB3C5E}"/>
</file>

<file path=customXml/itemProps3.xml><?xml version="1.0" encoding="utf-8"?>
<ds:datastoreItem xmlns:ds="http://schemas.openxmlformats.org/officeDocument/2006/customXml" ds:itemID="{A0E44E32-C2FF-4D1D-8054-9F87E35C9EEF}"/>
</file>

<file path=customXml/itemProps4.xml><?xml version="1.0" encoding="utf-8"?>
<ds:datastoreItem xmlns:ds="http://schemas.openxmlformats.org/officeDocument/2006/customXml" ds:itemID="{AD66BCD3-BDEE-43B3-92A8-196D59A730CE}"/>
</file>

<file path=customXml/itemProps5.xml><?xml version="1.0" encoding="utf-8"?>
<ds:datastoreItem xmlns:ds="http://schemas.openxmlformats.org/officeDocument/2006/customXml" ds:itemID="{FA5DAF87-2848-4E01-B990-29AAC09CD3A3}"/>
</file>

<file path=docProps/app.xml><?xml version="1.0" encoding="utf-8"?>
<Properties xmlns="http://schemas.openxmlformats.org/officeDocument/2006/extended-properties" xmlns:vt="http://schemas.openxmlformats.org/officeDocument/2006/docPropsVTypes">
  <Template>Normal.dotm</Template>
  <TotalTime>11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Black</dc:creator>
  <cp:keywords/>
  <dc:description/>
  <cp:lastModifiedBy>Stephen Black</cp:lastModifiedBy>
  <cp:revision>9</cp:revision>
  <dcterms:created xsi:type="dcterms:W3CDTF">2018-10-17T11:40:00Z</dcterms:created>
  <dcterms:modified xsi:type="dcterms:W3CDTF">2021-10-12T11:21:00Z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